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before="480" w:lineRule="auto"/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</w:rPr>
      </w:pPr>
      <w:bookmarkStart w:colFirst="0" w:colLast="0" w:name="_563amfdcw7q3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  <w:rtl w:val="0"/>
        </w:rPr>
        <w:t xml:space="preserve">Growth Group Worksheet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rtl w:val="0"/>
        </w:rPr>
        <w:t xml:space="preserve">Theme: Exactly What I Need—Life.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before="480" w:lineRule="auto"/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</w:rPr>
      </w:pPr>
      <w:bookmarkStart w:colFirst="0" w:colLast="0" w:name="_sowz3lesn4hc" w:id="1"/>
      <w:bookmarkEnd w:id="1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  <w:rtl w:val="0"/>
        </w:rPr>
        <w:t xml:space="preserve">Opening Reflection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emotions come to mind when you think about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rtl w:val="0"/>
        </w:rPr>
        <w:t xml:space="preserve">death</w:t>
      </w: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?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hd w:fill="ffffff" w:val="clear"/>
        <w:spacing w:after="200" w:before="0" w:beforeAutospacing="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Why do you think death feels so unnatural or wrong to us?</w:t>
      </w:r>
    </w:p>
    <w:p w:rsidR="00000000" w:rsidDel="00000000" w:rsidP="00000000" w:rsidRDefault="00000000" w:rsidRPr="00000000" w14:paraId="00000007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hd w:fill="ffffff" w:val="clear"/>
        <w:spacing w:before="480" w:lineRule="auto"/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</w:rPr>
      </w:pPr>
      <w:bookmarkStart w:colFirst="0" w:colLast="0" w:name="_hazqdpxz05wl" w:id="2"/>
      <w:bookmarkEnd w:id="2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  <w:rtl w:val="0"/>
        </w:rPr>
        <w:t xml:space="preserve">2 Kings 4:17–37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Elisha raises the Shunammite woman’s son.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before="280" w:lineRule="auto"/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</w:rPr>
      </w:pPr>
      <w:bookmarkStart w:colFirst="0" w:colLast="0" w:name="_yul67tup0ln1" w:id="3"/>
      <w:bookmarkEnd w:id="3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  <w:rtl w:val="0"/>
        </w:rPr>
        <w:t xml:space="preserve">Understanding the Text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is surprising about the woman’s response when her son dies (vv. 22–23)?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does her determination to go to Elisha reveal about her faith?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How does Elisha respond when he arrives?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role does persistence play in this account?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before="280" w:lineRule="auto"/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</w:rPr>
      </w:pPr>
      <w:bookmarkStart w:colFirst="0" w:colLast="0" w:name="_9qv8ndwvz7p7" w:id="4"/>
      <w:bookmarkEnd w:id="4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  <w:rtl w:val="0"/>
        </w:rPr>
        <w:t xml:space="preserve">Digging Deeper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Why do you think God allowed the child to die before raising him?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200" w:before="0" w:beforeAutospacing="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does this account teach us about bringing our grief and desperation to the Lord?</w:t>
      </w:r>
    </w:p>
    <w:p w:rsidR="00000000" w:rsidDel="00000000" w:rsidP="00000000" w:rsidRDefault="00000000" w:rsidRPr="00000000" w14:paraId="00000015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hd w:fill="ffffff" w:val="clear"/>
        <w:spacing w:before="480" w:lineRule="auto"/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</w:rPr>
      </w:pPr>
      <w:bookmarkStart w:colFirst="0" w:colLast="0" w:name="_rps5rai5qck4" w:id="5"/>
      <w:bookmarkEnd w:id="5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  <w:rtl w:val="0"/>
        </w:rPr>
        <w:t xml:space="preserve">John 11:17–27, 38–45</w:t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Jesus raises Lazarus from the dead.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ffffff" w:val="clear"/>
        <w:spacing w:before="280" w:lineRule="auto"/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</w:rPr>
      </w:pPr>
      <w:bookmarkStart w:colFirst="0" w:colLast="0" w:name="_fvftccxvphfj" w:id="6"/>
      <w:bookmarkEnd w:id="6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  <w:rtl w:val="0"/>
        </w:rPr>
        <w:t xml:space="preserve">Understanding the Text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does Jesus mean when He says,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222222"/>
          <w:rtl w:val="0"/>
        </w:rPr>
        <w:t xml:space="preserve">“I am the resurrection and the life”</w:t>
      </w: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?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Why does Jesus delay coming to Lazarus?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hd w:fill="ffffff" w:val="clear"/>
        <w:spacing w:before="280" w:lineRule="auto"/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</w:rPr>
      </w:pPr>
      <w:bookmarkStart w:colFirst="0" w:colLast="0" w:name="_h1jg6ik6n800" w:id="7"/>
      <w:bookmarkEnd w:id="7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  <w:rtl w:val="0"/>
        </w:rPr>
        <w:t xml:space="preserve">Digging Deeper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is the significance of Jesus calling Lazarus out by name?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How does this miracle point forward to something even greater?</w:t>
      </w:r>
    </w:p>
    <w:p w:rsidR="00000000" w:rsidDel="00000000" w:rsidP="00000000" w:rsidRDefault="00000000" w:rsidRPr="00000000" w14:paraId="0000001F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hd w:fill="ffffff" w:val="clear"/>
        <w:spacing w:before="480" w:lineRule="auto"/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</w:rPr>
      </w:pPr>
      <w:bookmarkStart w:colFirst="0" w:colLast="0" w:name="_xibwrxwco19t" w:id="8"/>
      <w:bookmarkEnd w:id="8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  <w:rtl w:val="0"/>
        </w:rPr>
        <w:t xml:space="preserve">Romans 8:11–19</w:t>
      </w:r>
    </w:p>
    <w:p w:rsidR="00000000" w:rsidDel="00000000" w:rsidP="00000000" w:rsidRDefault="00000000" w:rsidRPr="00000000" w14:paraId="00000021">
      <w:pPr>
        <w:shd w:fill="ffffff" w:val="clear"/>
        <w:spacing w:after="200" w:before="200" w:lineRule="auto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The Spirit gives life now and promises future glory.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hd w:fill="ffffff" w:val="clear"/>
        <w:spacing w:before="280" w:lineRule="auto"/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</w:rPr>
      </w:pPr>
      <w:bookmarkStart w:colFirst="0" w:colLast="0" w:name="_durbsnr7jrgk" w:id="9"/>
      <w:bookmarkEnd w:id="9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  <w:rtl w:val="0"/>
        </w:rPr>
        <w:t xml:space="preserve">Understanding the Text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promise is given in verse 11?</w:t>
      </w:r>
    </w:p>
    <w:p w:rsidR="00000000" w:rsidDel="00000000" w:rsidP="00000000" w:rsidRDefault="00000000" w:rsidRPr="00000000" w14:paraId="00000024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does it mean to be led by the Spirit (v. 14)?</w:t>
      </w:r>
    </w:p>
    <w:p w:rsidR="00000000" w:rsidDel="00000000" w:rsidP="00000000" w:rsidRDefault="00000000" w:rsidRPr="00000000" w14:paraId="00000026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do you think verse 16 means? How does the “Spirit testify </w:t>
      </w: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with ou</w:t>
      </w: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r spirit…”?</w:t>
      </w:r>
    </w:p>
    <w:p w:rsidR="00000000" w:rsidDel="00000000" w:rsidP="00000000" w:rsidRDefault="00000000" w:rsidRPr="00000000" w14:paraId="00000028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does creation itself long for?</w:t>
      </w:r>
    </w:p>
    <w:p w:rsidR="00000000" w:rsidDel="00000000" w:rsidP="00000000" w:rsidRDefault="00000000" w:rsidRPr="00000000" w14:paraId="0000002A">
      <w:pPr>
        <w:shd w:fill="ffffff" w:val="clear"/>
        <w:spacing w:after="200" w:before="200" w:lineRule="auto"/>
        <w:ind w:left="720" w:firstLine="0"/>
        <w:rPr>
          <w:rFonts w:ascii="Book Antiqua" w:cs="Book Antiqua" w:eastAsia="Book Antiqua" w:hAnsi="Book Antiqu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hd w:fill="ffffff" w:val="clear"/>
        <w:spacing w:before="280" w:lineRule="auto"/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</w:rPr>
      </w:pPr>
      <w:bookmarkStart w:colFirst="0" w:colLast="0" w:name="_d2w7lnh05mq7" w:id="10"/>
      <w:bookmarkEnd w:id="10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26"/>
          <w:szCs w:val="26"/>
          <w:rtl w:val="0"/>
        </w:rPr>
        <w:t xml:space="preserve">Digging Deeper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hd w:fill="ffffff" w:val="clear"/>
        <w:spacing w:after="200" w:before="20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How does the promise of resurrection change how we face suffering and death?</w:t>
      </w:r>
    </w:p>
    <w:p w:rsidR="00000000" w:rsidDel="00000000" w:rsidP="00000000" w:rsidRDefault="00000000" w:rsidRPr="00000000" w14:paraId="0000002D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hd w:fill="ffffff" w:val="clear"/>
        <w:spacing w:before="480" w:lineRule="auto"/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</w:rPr>
      </w:pPr>
      <w:bookmarkStart w:colFirst="0" w:colLast="0" w:name="_gpo8e2mb3gli" w:id="11"/>
      <w:bookmarkEnd w:id="11"/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sz w:val="46"/>
          <w:szCs w:val="46"/>
          <w:rtl w:val="0"/>
        </w:rPr>
        <w:t xml:space="preserve">Application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Where in your life do you feel like things are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color w:val="222222"/>
          <w:rtl w:val="0"/>
        </w:rPr>
        <w:t xml:space="preserve">dead or hopeless</w:t>
      </w: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 right now?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How does Jesus’ power over death speak into that situation?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What does it look like to trust Jesus as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222222"/>
          <w:rtl w:val="0"/>
        </w:rPr>
        <w:t xml:space="preserve">“the resurrection and the life”</w:t>
      </w: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 in daily life?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spacing w:after="200" w:before="0" w:beforeAutospacing="0" w:lineRule="auto"/>
        <w:ind w:left="94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222222"/>
          <w:rtl w:val="0"/>
        </w:rPr>
        <w:t xml:space="preserve">How can you encourage someone else who is facing grief or loss?</w:t>
      </w:r>
    </w:p>
    <w:p w:rsidR="00000000" w:rsidDel="00000000" w:rsidP="00000000" w:rsidRDefault="00000000" w:rsidRPr="00000000" w14:paraId="00000034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  <w:cols w:equalWidth="0" w:num="2">
        <w:col w:space="720" w:w="6120"/>
        <w:col w:space="0" w:w="61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